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358CF4" w14:textId="7B2B2CD4" w:rsidR="009C7C6B" w:rsidRDefault="009C7C6B" w:rsidP="009C7C6B">
      <w:pPr>
        <w:spacing w:after="120" w:line="360" w:lineRule="auto"/>
        <w:ind w:left="567" w:right="-6"/>
        <w:rPr>
          <w:rFonts w:ascii="Arial" w:hAnsi="Arial" w:cs="Arial"/>
          <w:b/>
          <w:sz w:val="28"/>
          <w:szCs w:val="28"/>
        </w:rPr>
      </w:pPr>
      <w:r>
        <w:rPr>
          <w:rFonts w:ascii="Arial" w:hAnsi="Arial"/>
          <w:b/>
          <w:sz w:val="28"/>
          <w:szCs w:val="28"/>
        </w:rPr>
        <w:t xml:space="preserve">Rapidité et précision avec le </w:t>
      </w:r>
      <w:proofErr w:type="spellStart"/>
      <w:r>
        <w:rPr>
          <w:rFonts w:ascii="Arial" w:hAnsi="Arial"/>
          <w:b/>
          <w:sz w:val="28"/>
          <w:szCs w:val="28"/>
        </w:rPr>
        <w:t>Precea</w:t>
      </w:r>
      <w:proofErr w:type="spellEnd"/>
      <w:r>
        <w:rPr>
          <w:rFonts w:ascii="Arial" w:hAnsi="Arial"/>
          <w:b/>
          <w:sz w:val="28"/>
          <w:szCs w:val="28"/>
        </w:rPr>
        <w:t xml:space="preserve"> 6000</w:t>
      </w:r>
    </w:p>
    <w:p w14:paraId="1967593C" w14:textId="4386FC5C" w:rsidR="00655FC8" w:rsidRPr="00B63392" w:rsidRDefault="00655FC8" w:rsidP="003C0AFD">
      <w:pPr>
        <w:pStyle w:val="StandardWeb"/>
        <w:spacing w:after="0" w:line="360" w:lineRule="atLeast"/>
        <w:ind w:left="567" w:right="1836"/>
        <w:rPr>
          <w:rFonts w:ascii="Arial" w:hAnsi="Arial" w:cs="Arial"/>
          <w:sz w:val="22"/>
          <w:szCs w:val="22"/>
        </w:rPr>
      </w:pPr>
      <w:r>
        <w:rPr>
          <w:rFonts w:ascii="Arial" w:hAnsi="Arial"/>
          <w:sz w:val="22"/>
          <w:szCs w:val="22"/>
        </w:rPr>
        <w:t xml:space="preserve">Amazone élargit la gamme </w:t>
      </w:r>
      <w:proofErr w:type="spellStart"/>
      <w:r>
        <w:rPr>
          <w:rFonts w:ascii="Arial" w:hAnsi="Arial"/>
          <w:sz w:val="22"/>
          <w:szCs w:val="22"/>
        </w:rPr>
        <w:t>Precea</w:t>
      </w:r>
      <w:proofErr w:type="spellEnd"/>
      <w:r>
        <w:rPr>
          <w:rFonts w:ascii="Arial" w:hAnsi="Arial"/>
          <w:sz w:val="22"/>
          <w:szCs w:val="22"/>
        </w:rPr>
        <w:t xml:space="preserve"> avec un nouveau 8 </w:t>
      </w:r>
      <w:proofErr w:type="gramStart"/>
      <w:r>
        <w:rPr>
          <w:rFonts w:ascii="Arial" w:hAnsi="Arial"/>
          <w:sz w:val="22"/>
          <w:szCs w:val="22"/>
        </w:rPr>
        <w:t>rangs</w:t>
      </w:r>
      <w:proofErr w:type="gramEnd"/>
      <w:r>
        <w:rPr>
          <w:rFonts w:ascii="Arial" w:hAnsi="Arial"/>
          <w:sz w:val="22"/>
          <w:szCs w:val="22"/>
        </w:rPr>
        <w:t xml:space="preserve">. Le semoir </w:t>
      </w:r>
      <w:proofErr w:type="spellStart"/>
      <w:r>
        <w:rPr>
          <w:rFonts w:ascii="Arial" w:hAnsi="Arial"/>
          <w:sz w:val="22"/>
          <w:szCs w:val="22"/>
        </w:rPr>
        <w:t>monograine</w:t>
      </w:r>
      <w:proofErr w:type="spellEnd"/>
      <w:r>
        <w:rPr>
          <w:rFonts w:ascii="Arial" w:hAnsi="Arial"/>
          <w:sz w:val="22"/>
          <w:szCs w:val="22"/>
        </w:rPr>
        <w:t xml:space="preserve"> très rapide, porté sur les 3 points, avec sélection par surpression est idéal pour le semis de cultures en lignes, telles que le maïs, le soja, les tournesols, les betteraves, le colza et le sorgho. AMAZONE va donc proposer le </w:t>
      </w:r>
      <w:proofErr w:type="spellStart"/>
      <w:r>
        <w:rPr>
          <w:rFonts w:ascii="Arial" w:hAnsi="Arial"/>
          <w:sz w:val="22"/>
          <w:szCs w:val="22"/>
        </w:rPr>
        <w:t>Precea</w:t>
      </w:r>
      <w:proofErr w:type="spellEnd"/>
      <w:r>
        <w:rPr>
          <w:rFonts w:ascii="Arial" w:hAnsi="Arial"/>
          <w:sz w:val="22"/>
          <w:szCs w:val="22"/>
        </w:rPr>
        <w:t xml:space="preserve"> 6000 fixe et le </w:t>
      </w:r>
      <w:proofErr w:type="spellStart"/>
      <w:r>
        <w:rPr>
          <w:rFonts w:ascii="Arial" w:hAnsi="Arial"/>
          <w:sz w:val="22"/>
          <w:szCs w:val="22"/>
        </w:rPr>
        <w:t>Precea</w:t>
      </w:r>
      <w:proofErr w:type="spellEnd"/>
      <w:r>
        <w:rPr>
          <w:rFonts w:ascii="Arial" w:hAnsi="Arial"/>
          <w:sz w:val="22"/>
          <w:szCs w:val="22"/>
        </w:rPr>
        <w:t xml:space="preserve"> 6000-2 repliable. Les deux machines peuvent être équipées au choix sans équipement engrais ou en modèle CC avec une trémie arrière d’engrais. Le </w:t>
      </w:r>
      <w:proofErr w:type="spellStart"/>
      <w:r>
        <w:rPr>
          <w:rFonts w:ascii="Arial" w:hAnsi="Arial"/>
          <w:sz w:val="22"/>
          <w:szCs w:val="22"/>
        </w:rPr>
        <w:t>Precea</w:t>
      </w:r>
      <w:proofErr w:type="spellEnd"/>
      <w:r>
        <w:rPr>
          <w:rFonts w:ascii="Arial" w:hAnsi="Arial"/>
          <w:sz w:val="22"/>
          <w:szCs w:val="22"/>
        </w:rPr>
        <w:t xml:space="preserve"> 6000-2FCC représente le modèle le plus complet, il est équipé d’une trémie frontale </w:t>
      </w:r>
      <w:proofErr w:type="spellStart"/>
      <w:r>
        <w:rPr>
          <w:rFonts w:ascii="Arial" w:hAnsi="Arial"/>
          <w:sz w:val="22"/>
          <w:szCs w:val="22"/>
        </w:rPr>
        <w:t>FTender</w:t>
      </w:r>
      <w:proofErr w:type="spellEnd"/>
      <w:r>
        <w:rPr>
          <w:rFonts w:ascii="Arial" w:hAnsi="Arial"/>
          <w:sz w:val="22"/>
          <w:szCs w:val="22"/>
        </w:rPr>
        <w:t xml:space="preserve"> pour la fertilisation. La machine de 6 m sera disponible en quantité limitée au printemps 2021. </w:t>
      </w:r>
    </w:p>
    <w:p w14:paraId="2CD723CC" w14:textId="4A152099"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Bâti fixe et repliable pour une largeur de travail de 6 m</w:t>
      </w:r>
    </w:p>
    <w:p w14:paraId="0A26D580" w14:textId="4890C2E3" w:rsidR="00471785" w:rsidRPr="00655FC8" w:rsidRDefault="00664F29" w:rsidP="00471785">
      <w:pPr>
        <w:pStyle w:val="StandardWeb"/>
        <w:spacing w:after="0" w:line="360" w:lineRule="atLeast"/>
        <w:ind w:left="567" w:right="2262"/>
        <w:rPr>
          <w:rFonts w:ascii="Arial" w:hAnsi="Arial" w:cs="Arial"/>
          <w:sz w:val="22"/>
          <w:szCs w:val="22"/>
        </w:rPr>
      </w:pPr>
      <w:r>
        <w:rPr>
          <w:rFonts w:ascii="Arial" w:hAnsi="Arial"/>
          <w:sz w:val="22"/>
          <w:szCs w:val="22"/>
        </w:rPr>
        <w:t xml:space="preserve">Les </w:t>
      </w:r>
      <w:proofErr w:type="spellStart"/>
      <w:r>
        <w:rPr>
          <w:rFonts w:ascii="Arial" w:hAnsi="Arial"/>
          <w:sz w:val="22"/>
          <w:szCs w:val="22"/>
        </w:rPr>
        <w:t>Precea</w:t>
      </w:r>
      <w:proofErr w:type="spellEnd"/>
      <w:r>
        <w:rPr>
          <w:rFonts w:ascii="Arial" w:hAnsi="Arial"/>
          <w:sz w:val="22"/>
          <w:szCs w:val="22"/>
        </w:rPr>
        <w:t xml:space="preserve"> 6000 sont disponibles avec un bâti fixe ou les </w:t>
      </w:r>
      <w:proofErr w:type="spellStart"/>
      <w:r>
        <w:rPr>
          <w:rFonts w:ascii="Arial" w:hAnsi="Arial"/>
          <w:sz w:val="22"/>
          <w:szCs w:val="22"/>
        </w:rPr>
        <w:t>Precea</w:t>
      </w:r>
      <w:proofErr w:type="spellEnd"/>
      <w:r>
        <w:rPr>
          <w:rFonts w:ascii="Arial" w:hAnsi="Arial"/>
          <w:sz w:val="22"/>
          <w:szCs w:val="22"/>
        </w:rPr>
        <w:t xml:space="preserve"> 6000-2 avec un bâti repliable. Les 8 ou 9 éléments sont logés sur un cadre support spécial sur lequel ils peuvent être déplacés librement sur une glissière profilée. Ainsi le conducteur peut, en fonction de la situation, modifier l’écart jusqu’à 12 rangs selon l’équipement. Des équipements supplémentaires, tels que les efface-traces du tracteur ou une passerelle de chargement peuvent être mis en place indépendamment de l’écart de rang réglé. Le mode de construction court, compact garantit des efforts minimes au relevage. </w:t>
      </w:r>
    </w:p>
    <w:p w14:paraId="6EB20F3A" w14:textId="0996613B" w:rsidR="00655FC8" w:rsidRPr="00655FC8" w:rsidRDefault="00375B0A" w:rsidP="00013C90">
      <w:pPr>
        <w:pStyle w:val="StandardWeb"/>
        <w:spacing w:after="0" w:line="360" w:lineRule="atLeast"/>
        <w:ind w:left="567" w:right="2262"/>
        <w:rPr>
          <w:rFonts w:ascii="Arial" w:hAnsi="Arial" w:cs="Arial"/>
          <w:b/>
          <w:sz w:val="22"/>
          <w:szCs w:val="22"/>
        </w:rPr>
      </w:pPr>
      <w:r>
        <w:rPr>
          <w:rFonts w:ascii="Arial" w:hAnsi="Arial"/>
          <w:b/>
          <w:sz w:val="22"/>
          <w:szCs w:val="22"/>
        </w:rPr>
        <w:t>Sélection précise par surpression</w:t>
      </w:r>
    </w:p>
    <w:p w14:paraId="3A3941F0" w14:textId="7AAD4B65" w:rsidR="00655FC8" w:rsidRDefault="00655FC8" w:rsidP="00533B44">
      <w:pPr>
        <w:pStyle w:val="StandardWeb"/>
        <w:spacing w:after="0" w:line="360" w:lineRule="atLeast"/>
        <w:ind w:left="567" w:right="2262"/>
        <w:rPr>
          <w:rFonts w:ascii="Arial" w:hAnsi="Arial" w:cs="Arial"/>
          <w:sz w:val="22"/>
          <w:szCs w:val="22"/>
        </w:rPr>
      </w:pPr>
      <w:r>
        <w:rPr>
          <w:rFonts w:ascii="Arial" w:hAnsi="Arial"/>
          <w:sz w:val="22"/>
          <w:szCs w:val="22"/>
        </w:rPr>
        <w:t xml:space="preserve">La sélection est réalisée par surpression sur le </w:t>
      </w:r>
      <w:proofErr w:type="spellStart"/>
      <w:r>
        <w:rPr>
          <w:rFonts w:ascii="Arial" w:hAnsi="Arial"/>
          <w:sz w:val="22"/>
          <w:szCs w:val="22"/>
        </w:rPr>
        <w:t>Precea</w:t>
      </w:r>
      <w:proofErr w:type="spellEnd"/>
      <w:r>
        <w:rPr>
          <w:rFonts w:ascii="Arial" w:hAnsi="Arial"/>
          <w:sz w:val="22"/>
          <w:szCs w:val="22"/>
        </w:rPr>
        <w:t xml:space="preserve">. Les trémies de semence et l’intégralité du dosage sont en surpression. Les semences sont acheminées hors de la trémie vers le disque de sélection qui protège hermétiquement le dosage, puis pressées sur les alvéoles. La sélection précise est ensuite réalisée par les trois sélecteurs qui suivent. Les graines atteignent ensuite le canal d’expulsion où la pression appliquée est stoppée, la graine est alors propulsée avec précision dans le sillon, puis stoppée par la roulette de réception. Un dispositif de comptage optique surveille attentivement la sélection et indique au terminal du tracteur les manques ou les doublons. Les sélecteurs peuvent être réglés facilement. Le réglage électrique et entièrement automatique des sélecteurs via </w:t>
      </w:r>
      <w:proofErr w:type="spellStart"/>
      <w:r>
        <w:rPr>
          <w:rFonts w:ascii="Arial" w:hAnsi="Arial"/>
          <w:sz w:val="22"/>
          <w:szCs w:val="22"/>
        </w:rPr>
        <w:t>SmartControl</w:t>
      </w:r>
      <w:proofErr w:type="spellEnd"/>
      <w:r>
        <w:rPr>
          <w:rFonts w:ascii="Arial" w:hAnsi="Arial"/>
          <w:sz w:val="22"/>
          <w:szCs w:val="22"/>
        </w:rPr>
        <w:t xml:space="preserve"> </w:t>
      </w:r>
      <w:proofErr w:type="gramStart"/>
      <w:r>
        <w:rPr>
          <w:rFonts w:ascii="Arial" w:hAnsi="Arial"/>
          <w:sz w:val="22"/>
          <w:szCs w:val="22"/>
        </w:rPr>
        <w:t>représente</w:t>
      </w:r>
      <w:proofErr w:type="gramEnd"/>
      <w:r>
        <w:rPr>
          <w:rFonts w:ascii="Arial" w:hAnsi="Arial"/>
          <w:sz w:val="22"/>
          <w:szCs w:val="22"/>
        </w:rPr>
        <w:t xml:space="preserve"> une autre extension. </w:t>
      </w:r>
    </w:p>
    <w:p w14:paraId="41A36EDA" w14:textId="1989AD09" w:rsidR="00655FC8" w:rsidRPr="00655FC8" w:rsidRDefault="00510F64" w:rsidP="00435862">
      <w:pPr>
        <w:pStyle w:val="StandardWeb"/>
        <w:spacing w:after="0" w:line="360" w:lineRule="atLeast"/>
        <w:ind w:left="567" w:right="2262"/>
        <w:rPr>
          <w:rFonts w:ascii="Arial" w:hAnsi="Arial" w:cs="Arial"/>
          <w:sz w:val="22"/>
          <w:szCs w:val="22"/>
        </w:rPr>
      </w:pPr>
      <w:r>
        <w:rPr>
          <w:rFonts w:ascii="Arial" w:hAnsi="Arial"/>
          <w:sz w:val="22"/>
          <w:szCs w:val="22"/>
        </w:rPr>
        <w:lastRenderedPageBreak/>
        <w:t xml:space="preserve">La coupure individuelle des rangs est aussi intégrée dans l’entraînement électrique de la sélection par surpression sur le modèle </w:t>
      </w:r>
      <w:proofErr w:type="spellStart"/>
      <w:r>
        <w:rPr>
          <w:rFonts w:ascii="Arial" w:hAnsi="Arial"/>
          <w:sz w:val="22"/>
          <w:szCs w:val="22"/>
        </w:rPr>
        <w:t>Precea</w:t>
      </w:r>
      <w:proofErr w:type="spellEnd"/>
      <w:r>
        <w:rPr>
          <w:rFonts w:ascii="Arial" w:hAnsi="Arial"/>
          <w:sz w:val="22"/>
          <w:szCs w:val="22"/>
        </w:rPr>
        <w:t xml:space="preserve"> Super ; il est donc très facile de couper les </w:t>
      </w:r>
      <w:proofErr w:type="spellStart"/>
      <w:r>
        <w:rPr>
          <w:rFonts w:ascii="Arial" w:hAnsi="Arial"/>
          <w:sz w:val="22"/>
          <w:szCs w:val="22"/>
        </w:rPr>
        <w:t>jalonnages</w:t>
      </w:r>
      <w:proofErr w:type="spellEnd"/>
      <w:r>
        <w:rPr>
          <w:rFonts w:ascii="Arial" w:hAnsi="Arial"/>
          <w:sz w:val="22"/>
          <w:szCs w:val="22"/>
        </w:rPr>
        <w:t xml:space="preserve"> ou des rangs sur les pointes. Des densités de semis plus élevées sur les rangs en bordure et les </w:t>
      </w:r>
      <w:proofErr w:type="spellStart"/>
      <w:r>
        <w:rPr>
          <w:rFonts w:ascii="Arial" w:hAnsi="Arial"/>
          <w:sz w:val="22"/>
          <w:szCs w:val="22"/>
        </w:rPr>
        <w:t>jalonnages</w:t>
      </w:r>
      <w:proofErr w:type="spellEnd"/>
      <w:r>
        <w:rPr>
          <w:rFonts w:ascii="Arial" w:hAnsi="Arial"/>
          <w:sz w:val="22"/>
          <w:szCs w:val="22"/>
        </w:rPr>
        <w:t xml:space="preserve"> peuvent être facilement modulées depuis la cabine. Avec l’entraînement électrique, les vitesses d’avancement du </w:t>
      </w:r>
      <w:proofErr w:type="spellStart"/>
      <w:r>
        <w:rPr>
          <w:rFonts w:ascii="Arial" w:hAnsi="Arial"/>
          <w:sz w:val="22"/>
          <w:szCs w:val="22"/>
        </w:rPr>
        <w:t>Precea</w:t>
      </w:r>
      <w:proofErr w:type="spellEnd"/>
      <w:r>
        <w:rPr>
          <w:rFonts w:ascii="Arial" w:hAnsi="Arial"/>
          <w:sz w:val="22"/>
          <w:szCs w:val="22"/>
        </w:rPr>
        <w:t xml:space="preserve"> peuvent aller jusqu’à 15 km/h.</w:t>
      </w:r>
    </w:p>
    <w:p w14:paraId="35E072CB" w14:textId="33834718" w:rsid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Le </w:t>
      </w:r>
      <w:proofErr w:type="spellStart"/>
      <w:r>
        <w:rPr>
          <w:rFonts w:ascii="Arial" w:hAnsi="Arial"/>
          <w:sz w:val="22"/>
          <w:szCs w:val="22"/>
        </w:rPr>
        <w:t>Precea</w:t>
      </w:r>
      <w:proofErr w:type="spellEnd"/>
      <w:r>
        <w:rPr>
          <w:rFonts w:ascii="Arial" w:hAnsi="Arial"/>
          <w:sz w:val="22"/>
          <w:szCs w:val="22"/>
        </w:rPr>
        <w:t xml:space="preserve"> 6000 fixe est une variante spéciale, disponible avec un entraînement mécanique de sélection </w:t>
      </w:r>
      <w:proofErr w:type="spellStart"/>
      <w:r>
        <w:rPr>
          <w:rFonts w:ascii="Arial" w:hAnsi="Arial"/>
          <w:sz w:val="22"/>
          <w:szCs w:val="22"/>
        </w:rPr>
        <w:t>SpeedShaft</w:t>
      </w:r>
      <w:proofErr w:type="spellEnd"/>
      <w:r>
        <w:rPr>
          <w:rFonts w:ascii="Arial" w:hAnsi="Arial"/>
          <w:sz w:val="22"/>
          <w:szCs w:val="22"/>
        </w:rPr>
        <w:t xml:space="preserve">. L’entraînement du disque de sélection est assuré par un arbre Flex. Associé à une sélection par surpression très souple, il est possible d’atteindre, avec ce modèle dit </w:t>
      </w:r>
      <w:proofErr w:type="spellStart"/>
      <w:r>
        <w:rPr>
          <w:rFonts w:ascii="Arial" w:hAnsi="Arial"/>
          <w:sz w:val="22"/>
          <w:szCs w:val="22"/>
        </w:rPr>
        <w:t>Special</w:t>
      </w:r>
      <w:proofErr w:type="spellEnd"/>
      <w:r>
        <w:rPr>
          <w:rFonts w:ascii="Arial" w:hAnsi="Arial"/>
          <w:sz w:val="22"/>
          <w:szCs w:val="22"/>
        </w:rPr>
        <w:t xml:space="preserve">, des vitesses de 12 km/h, sans compromis sur la répartition longitudinale. </w:t>
      </w:r>
    </w:p>
    <w:p w14:paraId="74604BF7" w14:textId="77777777"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 xml:space="preserve">Élément de semis </w:t>
      </w:r>
      <w:proofErr w:type="spellStart"/>
      <w:r>
        <w:rPr>
          <w:rFonts w:ascii="Arial" w:hAnsi="Arial"/>
          <w:b/>
          <w:sz w:val="22"/>
          <w:szCs w:val="22"/>
        </w:rPr>
        <w:t>mulch</w:t>
      </w:r>
      <w:proofErr w:type="spellEnd"/>
      <w:r>
        <w:rPr>
          <w:rFonts w:ascii="Arial" w:hAnsi="Arial"/>
          <w:b/>
          <w:sz w:val="22"/>
          <w:szCs w:val="22"/>
        </w:rPr>
        <w:t xml:space="preserve"> </w:t>
      </w:r>
      <w:proofErr w:type="spellStart"/>
      <w:r>
        <w:rPr>
          <w:rFonts w:ascii="Arial" w:hAnsi="Arial"/>
          <w:b/>
          <w:sz w:val="22"/>
          <w:szCs w:val="22"/>
        </w:rPr>
        <w:t>PreTeC</w:t>
      </w:r>
      <w:proofErr w:type="spellEnd"/>
    </w:p>
    <w:p w14:paraId="2D4F348C" w14:textId="60DB33C0"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Le nouvel élément de semis </w:t>
      </w:r>
      <w:proofErr w:type="spellStart"/>
      <w:r>
        <w:rPr>
          <w:rFonts w:ascii="Arial" w:hAnsi="Arial"/>
          <w:sz w:val="22"/>
          <w:szCs w:val="22"/>
        </w:rPr>
        <w:t>mulch</w:t>
      </w:r>
      <w:proofErr w:type="spellEnd"/>
      <w:r>
        <w:rPr>
          <w:rFonts w:ascii="Arial" w:hAnsi="Arial"/>
          <w:sz w:val="22"/>
          <w:szCs w:val="22"/>
        </w:rPr>
        <w:t xml:space="preserve"> </w:t>
      </w:r>
      <w:proofErr w:type="spellStart"/>
      <w:r>
        <w:rPr>
          <w:rFonts w:ascii="Arial" w:hAnsi="Arial"/>
          <w:sz w:val="22"/>
          <w:szCs w:val="22"/>
        </w:rPr>
        <w:t>PreTeC</w:t>
      </w:r>
      <w:proofErr w:type="spellEnd"/>
      <w:r>
        <w:rPr>
          <w:rFonts w:ascii="Arial" w:hAnsi="Arial"/>
          <w:sz w:val="22"/>
          <w:szCs w:val="22"/>
        </w:rPr>
        <w:t xml:space="preserve"> peut être alimenté mécaniquement avec une pression jusqu’à 220 kg. Sur la variante hydraulique, le réglage de la pression jusqu’à 350 kg peut est réalisé directement depuis la cabine, durant le déplacement dans le champ. La progression est ainsi régulière et les levées homogènes, que cela soit pour le semis après labour ou le semis </w:t>
      </w:r>
      <w:proofErr w:type="spellStart"/>
      <w:r>
        <w:rPr>
          <w:rFonts w:ascii="Arial" w:hAnsi="Arial"/>
          <w:sz w:val="22"/>
          <w:szCs w:val="22"/>
        </w:rPr>
        <w:t>mulch</w:t>
      </w:r>
      <w:proofErr w:type="spellEnd"/>
      <w:r>
        <w:rPr>
          <w:rFonts w:ascii="Arial" w:hAnsi="Arial"/>
          <w:sz w:val="22"/>
          <w:szCs w:val="22"/>
        </w:rPr>
        <w:t xml:space="preserve">. </w:t>
      </w:r>
    </w:p>
    <w:p w14:paraId="53FF0263" w14:textId="509AFCFF"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Si besoin, les disques sont changés rapidement et sans outil en fonction des conditions. La profondeur d’implantation peut être réglée individuellement par le biais d’un segment perforé et l’unité est amenée en position de parking pour remiser la machine. La pression appliquée et l’angle d’ouverture des roulettes de </w:t>
      </w:r>
      <w:proofErr w:type="spellStart"/>
      <w:r>
        <w:rPr>
          <w:rFonts w:ascii="Arial" w:hAnsi="Arial"/>
          <w:sz w:val="22"/>
          <w:szCs w:val="22"/>
        </w:rPr>
        <w:t>rappui</w:t>
      </w:r>
      <w:proofErr w:type="spellEnd"/>
      <w:r>
        <w:rPr>
          <w:rFonts w:ascii="Arial" w:hAnsi="Arial"/>
          <w:sz w:val="22"/>
          <w:szCs w:val="22"/>
        </w:rPr>
        <w:t xml:space="preserve"> en V sont également réglés très facilement et sans outil. L’unité de disques complète est facilement accessible et les paliers et douilles sans entretien sont protégés au mieux de la poussière. </w:t>
      </w:r>
    </w:p>
    <w:p w14:paraId="4A02E62D" w14:textId="6FEF815C"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Grande trémie de semence</w:t>
      </w:r>
    </w:p>
    <w:p w14:paraId="6C451999" w14:textId="36C5FC64"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La trémie de semence des </w:t>
      </w:r>
      <w:proofErr w:type="spellStart"/>
      <w:r>
        <w:rPr>
          <w:rFonts w:ascii="Arial" w:hAnsi="Arial"/>
          <w:sz w:val="22"/>
          <w:szCs w:val="22"/>
        </w:rPr>
        <w:t>Precea</w:t>
      </w:r>
      <w:proofErr w:type="spellEnd"/>
      <w:r>
        <w:rPr>
          <w:rFonts w:ascii="Arial" w:hAnsi="Arial"/>
          <w:sz w:val="22"/>
          <w:szCs w:val="22"/>
        </w:rPr>
        <w:t xml:space="preserve"> offre une capacité de 55 l ou 70 l. Une lèvre en caoutchouc protège les trémies sous pression de la pénétration de poussière. Le dosage est facile à atteindre et l’unité est rapide à vider sans outil. La glissière fournie peut être mise en place des deux côtés au niveau de la sélection. En plus des trémies de semence, il est possible de monter un </w:t>
      </w:r>
      <w:proofErr w:type="spellStart"/>
      <w:r>
        <w:rPr>
          <w:rFonts w:ascii="Arial" w:hAnsi="Arial"/>
          <w:sz w:val="22"/>
          <w:szCs w:val="22"/>
        </w:rPr>
        <w:t>microgranulateur</w:t>
      </w:r>
      <w:proofErr w:type="spellEnd"/>
      <w:r>
        <w:rPr>
          <w:rFonts w:ascii="Arial" w:hAnsi="Arial"/>
          <w:sz w:val="22"/>
          <w:szCs w:val="22"/>
        </w:rPr>
        <w:t xml:space="preserve"> supplémentaire par rang avec dosage électrique. </w:t>
      </w:r>
    </w:p>
    <w:p w14:paraId="222ADD16" w14:textId="3FDDCC8D" w:rsidR="00D93ED6" w:rsidRPr="00655FC8" w:rsidRDefault="00DC53E0" w:rsidP="00D93ED6">
      <w:pPr>
        <w:pStyle w:val="StandardWeb"/>
        <w:spacing w:after="0" w:line="360" w:lineRule="atLeast"/>
        <w:ind w:left="567" w:right="2262"/>
        <w:rPr>
          <w:rFonts w:ascii="Arial" w:hAnsi="Arial" w:cs="Arial"/>
          <w:sz w:val="22"/>
          <w:szCs w:val="22"/>
        </w:rPr>
      </w:pPr>
      <w:r>
        <w:rPr>
          <w:rFonts w:ascii="Arial" w:hAnsi="Arial"/>
          <w:b/>
          <w:sz w:val="22"/>
          <w:szCs w:val="22"/>
        </w:rPr>
        <w:lastRenderedPageBreak/>
        <w:t xml:space="preserve">Trémie d’engrais arrière avec système de dosage d’engrais </w:t>
      </w:r>
      <w:proofErr w:type="spellStart"/>
      <w:r>
        <w:rPr>
          <w:rFonts w:ascii="Arial" w:hAnsi="Arial"/>
          <w:b/>
          <w:sz w:val="22"/>
          <w:szCs w:val="22"/>
        </w:rPr>
        <w:t>Precis</w:t>
      </w:r>
      <w:proofErr w:type="spellEnd"/>
    </w:p>
    <w:p w14:paraId="7AE4A99F" w14:textId="16ABC577" w:rsidR="00655FC8" w:rsidRDefault="00EF3A76"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Pour réduire les temps d’arrêt et assurer un remplissage rapide et facile, les </w:t>
      </w:r>
      <w:proofErr w:type="spellStart"/>
      <w:r>
        <w:rPr>
          <w:rFonts w:ascii="Arial" w:hAnsi="Arial"/>
          <w:sz w:val="22"/>
          <w:szCs w:val="22"/>
        </w:rPr>
        <w:t>Precea</w:t>
      </w:r>
      <w:proofErr w:type="spellEnd"/>
      <w:r>
        <w:rPr>
          <w:rFonts w:ascii="Arial" w:hAnsi="Arial"/>
          <w:sz w:val="22"/>
          <w:szCs w:val="22"/>
        </w:rPr>
        <w:t xml:space="preserve"> 6000-CC et 6000-2CC sont équipés d’une grande trémie d’engrais arrière de 950 l ou 1 250 l. La forme de la trémie deux cônes garantit des reliquats minimes et un dosage parfait de l’engrais. Ce dernier est réalisé sur chaque rang par le système de dosage </w:t>
      </w:r>
      <w:proofErr w:type="spellStart"/>
      <w:r>
        <w:rPr>
          <w:rFonts w:ascii="Arial" w:hAnsi="Arial"/>
          <w:sz w:val="22"/>
          <w:szCs w:val="22"/>
        </w:rPr>
        <w:t>Precis</w:t>
      </w:r>
      <w:proofErr w:type="spellEnd"/>
      <w:r>
        <w:rPr>
          <w:rFonts w:ascii="Arial" w:hAnsi="Arial"/>
          <w:sz w:val="22"/>
          <w:szCs w:val="22"/>
        </w:rPr>
        <w:t xml:space="preserve"> qui est réglé par le biais du poste de réglage </w:t>
      </w:r>
      <w:proofErr w:type="spellStart"/>
      <w:r>
        <w:rPr>
          <w:rFonts w:ascii="Arial" w:hAnsi="Arial"/>
          <w:sz w:val="22"/>
          <w:szCs w:val="22"/>
        </w:rPr>
        <w:t>SmartCenter</w:t>
      </w:r>
      <w:proofErr w:type="spellEnd"/>
      <w:r>
        <w:rPr>
          <w:rFonts w:ascii="Arial" w:hAnsi="Arial"/>
          <w:sz w:val="22"/>
          <w:szCs w:val="22"/>
        </w:rPr>
        <w:t xml:space="preserve">. Le débit de l’engrais est contrôlé centralement et recueilli dans un auget d’étalonnage, il est ensuite prélevé du côté gauche et pesé. Associé au dosage électrique, le contrôle de débit peut aussi être réalisé par le biais du </w:t>
      </w:r>
      <w:proofErr w:type="spellStart"/>
      <w:r>
        <w:rPr>
          <w:rFonts w:ascii="Arial" w:hAnsi="Arial"/>
          <w:sz w:val="22"/>
          <w:szCs w:val="22"/>
        </w:rPr>
        <w:t>TwinTerminal</w:t>
      </w:r>
      <w:proofErr w:type="spellEnd"/>
      <w:r>
        <w:rPr>
          <w:rFonts w:ascii="Arial" w:hAnsi="Arial"/>
          <w:sz w:val="22"/>
          <w:szCs w:val="22"/>
        </w:rPr>
        <w:t xml:space="preserve"> en option, directement sur la machine. L’engrais est acheminé activement par une assistance pneumatique jusqu’à l’enfouisseur double disque </w:t>
      </w:r>
      <w:proofErr w:type="spellStart"/>
      <w:r>
        <w:rPr>
          <w:rFonts w:ascii="Arial" w:hAnsi="Arial"/>
          <w:sz w:val="22"/>
          <w:szCs w:val="22"/>
        </w:rPr>
        <w:t>FerTeC</w:t>
      </w:r>
      <w:proofErr w:type="spellEnd"/>
      <w:r>
        <w:rPr>
          <w:rFonts w:ascii="Arial" w:hAnsi="Arial"/>
          <w:sz w:val="22"/>
          <w:szCs w:val="22"/>
        </w:rPr>
        <w:t xml:space="preserve"> </w:t>
      </w:r>
      <w:proofErr w:type="spellStart"/>
      <w:r>
        <w:rPr>
          <w:rFonts w:ascii="Arial" w:hAnsi="Arial"/>
          <w:sz w:val="22"/>
          <w:szCs w:val="22"/>
        </w:rPr>
        <w:t>Twin</w:t>
      </w:r>
      <w:proofErr w:type="spellEnd"/>
      <w:r>
        <w:rPr>
          <w:rFonts w:ascii="Arial" w:hAnsi="Arial"/>
          <w:sz w:val="22"/>
          <w:szCs w:val="22"/>
        </w:rPr>
        <w:t xml:space="preserve"> et appliqué dans le sol à côté de chaque rang de semis. </w:t>
      </w:r>
    </w:p>
    <w:p w14:paraId="11FDC6D8" w14:textId="556DBFA2" w:rsidR="00DC53E0" w:rsidRPr="00B21158" w:rsidRDefault="00033B2B" w:rsidP="00655FC8">
      <w:pPr>
        <w:pStyle w:val="StandardWeb"/>
        <w:spacing w:after="0" w:line="360" w:lineRule="atLeast"/>
        <w:ind w:left="567" w:right="2262"/>
        <w:rPr>
          <w:rFonts w:ascii="Arial" w:hAnsi="Arial" w:cs="Arial"/>
          <w:b/>
          <w:sz w:val="22"/>
          <w:szCs w:val="22"/>
        </w:rPr>
      </w:pPr>
      <w:r>
        <w:rPr>
          <w:rFonts w:ascii="Arial" w:hAnsi="Arial"/>
          <w:b/>
          <w:sz w:val="22"/>
          <w:szCs w:val="22"/>
        </w:rPr>
        <w:t xml:space="preserve">Trémie frontale </w:t>
      </w:r>
      <w:proofErr w:type="spellStart"/>
      <w:r>
        <w:rPr>
          <w:rFonts w:ascii="Arial" w:hAnsi="Arial"/>
          <w:b/>
          <w:sz w:val="22"/>
          <w:szCs w:val="22"/>
        </w:rPr>
        <w:t>FTender</w:t>
      </w:r>
      <w:proofErr w:type="spellEnd"/>
      <w:r>
        <w:rPr>
          <w:rFonts w:ascii="Arial" w:hAnsi="Arial"/>
          <w:b/>
          <w:sz w:val="22"/>
          <w:szCs w:val="22"/>
        </w:rPr>
        <w:t xml:space="preserve"> pour une répartition optimale des masses</w:t>
      </w:r>
    </w:p>
    <w:p w14:paraId="58AC5EFC" w14:textId="73A35D72" w:rsidR="00DA315C" w:rsidRPr="00B21158" w:rsidRDefault="00F43E3C" w:rsidP="00DA315C">
      <w:pPr>
        <w:pStyle w:val="StandardWeb"/>
        <w:spacing w:after="0" w:line="360" w:lineRule="atLeast"/>
        <w:ind w:left="567" w:right="2262"/>
        <w:rPr>
          <w:rFonts w:ascii="Arial" w:hAnsi="Arial" w:cs="Arial"/>
          <w:sz w:val="22"/>
          <w:szCs w:val="22"/>
        </w:rPr>
      </w:pPr>
      <w:r>
        <w:rPr>
          <w:rFonts w:ascii="Arial" w:hAnsi="Arial"/>
          <w:sz w:val="22"/>
          <w:szCs w:val="22"/>
        </w:rPr>
        <w:t xml:space="preserve">Le modèle </w:t>
      </w:r>
      <w:proofErr w:type="spellStart"/>
      <w:r>
        <w:rPr>
          <w:rFonts w:ascii="Arial" w:hAnsi="Arial"/>
          <w:sz w:val="22"/>
          <w:szCs w:val="22"/>
        </w:rPr>
        <w:t>Precea</w:t>
      </w:r>
      <w:proofErr w:type="spellEnd"/>
      <w:r>
        <w:rPr>
          <w:rFonts w:ascii="Arial" w:hAnsi="Arial"/>
          <w:sz w:val="22"/>
          <w:szCs w:val="22"/>
        </w:rPr>
        <w:t xml:space="preserve"> 6000-2FCC avec sa nouvelle trémie frontale </w:t>
      </w:r>
      <w:proofErr w:type="spellStart"/>
      <w:r>
        <w:rPr>
          <w:rFonts w:ascii="Arial" w:hAnsi="Arial"/>
          <w:sz w:val="22"/>
          <w:szCs w:val="22"/>
        </w:rPr>
        <w:t>FTender</w:t>
      </w:r>
      <w:proofErr w:type="spellEnd"/>
      <w:r>
        <w:rPr>
          <w:rFonts w:ascii="Arial" w:hAnsi="Arial"/>
          <w:sz w:val="22"/>
          <w:szCs w:val="22"/>
        </w:rPr>
        <w:t xml:space="preserve"> est équipé pour la fertilisation afin de réaliser un rendement maximal. Les volumes de remplissage de 1 600 ou 2 200 l permettent de réduire les temps d’arrêt et d’augmenter les performances. </w:t>
      </w:r>
      <w:proofErr w:type="spellStart"/>
      <w:r>
        <w:rPr>
          <w:rFonts w:ascii="Arial" w:hAnsi="Arial"/>
          <w:sz w:val="22"/>
          <w:szCs w:val="22"/>
        </w:rPr>
        <w:t>FTender</w:t>
      </w:r>
      <w:proofErr w:type="spellEnd"/>
      <w:r>
        <w:rPr>
          <w:rFonts w:ascii="Arial" w:hAnsi="Arial"/>
          <w:sz w:val="22"/>
          <w:szCs w:val="22"/>
        </w:rPr>
        <w:t xml:space="preserve"> est équipé en standard d’un dosage électrique et d’un pilotage par le biais du terminal ISOBUS. Un contrôle de débit est possible par le biais du </w:t>
      </w:r>
      <w:proofErr w:type="spellStart"/>
      <w:r>
        <w:rPr>
          <w:rFonts w:ascii="Arial" w:hAnsi="Arial"/>
          <w:sz w:val="22"/>
          <w:szCs w:val="22"/>
        </w:rPr>
        <w:t>TwinTerminal</w:t>
      </w:r>
      <w:proofErr w:type="spellEnd"/>
      <w:r>
        <w:rPr>
          <w:rFonts w:ascii="Arial" w:hAnsi="Arial"/>
          <w:sz w:val="22"/>
          <w:szCs w:val="22"/>
        </w:rPr>
        <w:t xml:space="preserve"> en option, directement sur la trémie frontale. Pour ce faire, une balance est fournie et un seau repliable est rangé à proximité de l’unité de dosage bien accessible. </w:t>
      </w:r>
    </w:p>
    <w:p w14:paraId="57DA62F2" w14:textId="67C4C64E" w:rsidR="007F60DA" w:rsidRPr="00B21158" w:rsidRDefault="00FD6EE5" w:rsidP="00DA315C">
      <w:pPr>
        <w:pStyle w:val="StandardWeb"/>
        <w:spacing w:after="0" w:line="360" w:lineRule="atLeast"/>
        <w:ind w:left="567" w:right="2262"/>
        <w:rPr>
          <w:rFonts w:ascii="Arial" w:hAnsi="Arial" w:cs="Arial"/>
          <w:sz w:val="22"/>
          <w:szCs w:val="22"/>
        </w:rPr>
      </w:pPr>
      <w:proofErr w:type="spellStart"/>
      <w:r>
        <w:rPr>
          <w:rFonts w:ascii="Arial" w:hAnsi="Arial"/>
          <w:sz w:val="22"/>
          <w:szCs w:val="22"/>
        </w:rPr>
        <w:t>FTender</w:t>
      </w:r>
      <w:proofErr w:type="spellEnd"/>
      <w:r>
        <w:rPr>
          <w:rFonts w:ascii="Arial" w:hAnsi="Arial"/>
          <w:sz w:val="22"/>
          <w:szCs w:val="22"/>
        </w:rPr>
        <w:t xml:space="preserve"> offre une plus-value car il peut aussi être utilisé comme trémie de semence sur le combiné Avant. Mais </w:t>
      </w:r>
      <w:proofErr w:type="spellStart"/>
      <w:r>
        <w:rPr>
          <w:rFonts w:ascii="Arial" w:hAnsi="Arial"/>
          <w:sz w:val="22"/>
          <w:szCs w:val="22"/>
        </w:rPr>
        <w:t>FTender</w:t>
      </w:r>
      <w:proofErr w:type="spellEnd"/>
      <w:r>
        <w:rPr>
          <w:rFonts w:ascii="Arial" w:hAnsi="Arial"/>
          <w:sz w:val="22"/>
          <w:szCs w:val="22"/>
        </w:rPr>
        <w:t xml:space="preserve"> peut aussi être associé à la préparation du sol Amazone pour semer par exemple en un seul passage des </w:t>
      </w:r>
      <w:proofErr w:type="spellStart"/>
      <w:r>
        <w:rPr>
          <w:rFonts w:ascii="Arial" w:hAnsi="Arial"/>
          <w:sz w:val="22"/>
          <w:szCs w:val="22"/>
        </w:rPr>
        <w:t>intercultures</w:t>
      </w:r>
      <w:proofErr w:type="spellEnd"/>
      <w:r>
        <w:rPr>
          <w:rFonts w:ascii="Arial" w:hAnsi="Arial"/>
          <w:sz w:val="22"/>
          <w:szCs w:val="22"/>
        </w:rPr>
        <w:t xml:space="preserve"> et/ou de l’engrais.</w:t>
      </w:r>
    </w:p>
    <w:p w14:paraId="314C29E8" w14:textId="77777777"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 xml:space="preserve">Commande de la machine </w:t>
      </w:r>
    </w:p>
    <w:p w14:paraId="51F0678C" w14:textId="616AA41B" w:rsid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Le </w:t>
      </w:r>
      <w:proofErr w:type="spellStart"/>
      <w:r>
        <w:rPr>
          <w:rFonts w:ascii="Arial" w:hAnsi="Arial"/>
          <w:sz w:val="22"/>
          <w:szCs w:val="22"/>
        </w:rPr>
        <w:t>Precea</w:t>
      </w:r>
      <w:proofErr w:type="spellEnd"/>
      <w:r>
        <w:rPr>
          <w:rFonts w:ascii="Arial" w:hAnsi="Arial"/>
          <w:sz w:val="22"/>
          <w:szCs w:val="22"/>
        </w:rPr>
        <w:t xml:space="preserve"> Super permet un pilotage très confortable par le biais des logiciels développés par nos soins et des terminaux ISOBUS, comme l’</w:t>
      </w:r>
      <w:proofErr w:type="spellStart"/>
      <w:r>
        <w:rPr>
          <w:rFonts w:ascii="Arial" w:hAnsi="Arial"/>
          <w:sz w:val="22"/>
          <w:szCs w:val="22"/>
        </w:rPr>
        <w:t>AmaTron</w:t>
      </w:r>
      <w:proofErr w:type="spellEnd"/>
      <w:r>
        <w:rPr>
          <w:rFonts w:ascii="Arial" w:hAnsi="Arial"/>
          <w:sz w:val="22"/>
          <w:szCs w:val="22"/>
        </w:rPr>
        <w:t xml:space="preserve"> 4 ou l’</w:t>
      </w:r>
      <w:proofErr w:type="spellStart"/>
      <w:r>
        <w:rPr>
          <w:rFonts w:ascii="Arial" w:hAnsi="Arial"/>
          <w:sz w:val="22"/>
          <w:szCs w:val="22"/>
        </w:rPr>
        <w:t>AmaPad</w:t>
      </w:r>
      <w:proofErr w:type="spellEnd"/>
      <w:r>
        <w:rPr>
          <w:rFonts w:ascii="Arial" w:hAnsi="Arial"/>
          <w:sz w:val="22"/>
          <w:szCs w:val="22"/>
        </w:rPr>
        <w:t xml:space="preserve"> 2. Un pilotage tactile optimisé simplifie la navigation sur le logiciel. Pour le </w:t>
      </w:r>
      <w:proofErr w:type="spellStart"/>
      <w:r>
        <w:rPr>
          <w:rFonts w:ascii="Arial" w:hAnsi="Arial"/>
          <w:sz w:val="22"/>
          <w:szCs w:val="22"/>
        </w:rPr>
        <w:t>Precea</w:t>
      </w:r>
      <w:proofErr w:type="spellEnd"/>
      <w:r>
        <w:rPr>
          <w:rFonts w:ascii="Arial" w:hAnsi="Arial"/>
          <w:sz w:val="22"/>
          <w:szCs w:val="22"/>
        </w:rPr>
        <w:t xml:space="preserve"> </w:t>
      </w:r>
      <w:proofErr w:type="spellStart"/>
      <w:r>
        <w:rPr>
          <w:rFonts w:ascii="Arial" w:hAnsi="Arial"/>
          <w:sz w:val="22"/>
          <w:szCs w:val="22"/>
        </w:rPr>
        <w:t>Special</w:t>
      </w:r>
      <w:proofErr w:type="spellEnd"/>
      <w:r>
        <w:rPr>
          <w:rFonts w:ascii="Arial" w:hAnsi="Arial"/>
          <w:sz w:val="22"/>
          <w:szCs w:val="22"/>
        </w:rPr>
        <w:t xml:space="preserve">, le terminal </w:t>
      </w:r>
      <w:proofErr w:type="spellStart"/>
      <w:r>
        <w:rPr>
          <w:rFonts w:ascii="Arial" w:hAnsi="Arial"/>
          <w:sz w:val="22"/>
          <w:szCs w:val="22"/>
        </w:rPr>
        <w:t>AmaCheck</w:t>
      </w:r>
      <w:proofErr w:type="spellEnd"/>
      <w:r>
        <w:rPr>
          <w:rFonts w:ascii="Arial" w:hAnsi="Arial"/>
          <w:sz w:val="22"/>
          <w:szCs w:val="22"/>
        </w:rPr>
        <w:t xml:space="preserve"> permet une surveillance très efficace. </w:t>
      </w:r>
    </w:p>
    <w:p w14:paraId="49798409" w14:textId="77777777"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lastRenderedPageBreak/>
        <w:t xml:space="preserve">Voir la vidéo : </w:t>
      </w:r>
      <w:hyperlink r:id="rId6" w:history="1">
        <w:r>
          <w:rPr>
            <w:rStyle w:val="Hyperlink"/>
            <w:rFonts w:ascii="Arial" w:hAnsi="Arial"/>
            <w:sz w:val="22"/>
            <w:szCs w:val="22"/>
          </w:rPr>
          <w:t>https://youtu.be/k4_ONNh5jjc</w:t>
        </w:r>
      </w:hyperlink>
    </w:p>
    <w:p w14:paraId="6000CD43" w14:textId="55CB33CF"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 </w:t>
      </w:r>
      <w:r w:rsidR="000C5F07">
        <w:pict w14:anchorId="20DBEE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35pt;height:84.35pt">
            <v:imagedata r:id="rId7" o:title="qr_YouTube - Precea"/>
          </v:shape>
        </w:pict>
      </w:r>
    </w:p>
    <w:p w14:paraId="2911C57A" w14:textId="77777777" w:rsidR="00114F26" w:rsidRDefault="00114F26" w:rsidP="00114F26">
      <w:pPr>
        <w:tabs>
          <w:tab w:val="left" w:pos="3550"/>
        </w:tabs>
        <w:spacing w:line="360" w:lineRule="auto"/>
        <w:ind w:left="567" w:right="2262"/>
        <w:rPr>
          <w:rFonts w:ascii="Arial" w:hAnsi="Arial" w:cs="Arial"/>
          <w:b/>
          <w:bCs/>
          <w:color w:val="808080" w:themeColor="background1" w:themeShade="80"/>
          <w:sz w:val="20"/>
          <w:szCs w:val="20"/>
        </w:rPr>
      </w:pPr>
    </w:p>
    <w:p w14:paraId="6F8F68F5" w14:textId="77777777" w:rsidR="008914EF" w:rsidRDefault="008914EF" w:rsidP="00114F26">
      <w:pPr>
        <w:tabs>
          <w:tab w:val="left" w:pos="3550"/>
        </w:tabs>
        <w:spacing w:line="360" w:lineRule="auto"/>
        <w:ind w:left="567" w:right="2262"/>
        <w:rPr>
          <w:rFonts w:ascii="Arial" w:hAnsi="Arial" w:cs="Arial"/>
          <w:b/>
          <w:bCs/>
          <w:color w:val="808080" w:themeColor="background1" w:themeShade="80"/>
          <w:sz w:val="20"/>
          <w:szCs w:val="20"/>
        </w:rPr>
      </w:pPr>
    </w:p>
    <w:p w14:paraId="5D17E05A" w14:textId="77777777" w:rsidR="00B63392" w:rsidRDefault="000C5F07"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pict w14:anchorId="646D1222">
          <v:shape id="_x0000_i1026" type="#_x0000_t75" style="width:391.9pt;height:261.25pt">
            <v:imagedata r:id="rId8" o:title="Precea6000-2CC_Deutz_d0_kw_DJI_0246_d1_201112"/>
          </v:shape>
        </w:pict>
      </w:r>
    </w:p>
    <w:p w14:paraId="351F713C" w14:textId="527719B2" w:rsidR="00B63392" w:rsidRPr="006407F3" w:rsidRDefault="00123BBE" w:rsidP="006407F3">
      <w:pPr>
        <w:pStyle w:val="StandardWeb"/>
        <w:spacing w:after="0" w:line="360" w:lineRule="atLeast"/>
        <w:ind w:left="567" w:right="2262"/>
        <w:rPr>
          <w:rFonts w:ascii="Arial" w:hAnsi="Arial" w:cs="Arial"/>
          <w:sz w:val="22"/>
          <w:szCs w:val="22"/>
        </w:rPr>
      </w:pPr>
      <w:r>
        <w:rPr>
          <w:rFonts w:ascii="Arial" w:hAnsi="Arial"/>
          <w:sz w:val="22"/>
          <w:szCs w:val="22"/>
        </w:rPr>
        <w:t xml:space="preserve">Le nouveau </w:t>
      </w:r>
      <w:proofErr w:type="spellStart"/>
      <w:r>
        <w:rPr>
          <w:rFonts w:ascii="Arial" w:hAnsi="Arial"/>
          <w:sz w:val="22"/>
          <w:szCs w:val="22"/>
        </w:rPr>
        <w:t>Precea</w:t>
      </w:r>
      <w:proofErr w:type="spellEnd"/>
      <w:r>
        <w:rPr>
          <w:rFonts w:ascii="Arial" w:hAnsi="Arial"/>
          <w:sz w:val="22"/>
          <w:szCs w:val="22"/>
        </w:rPr>
        <w:t xml:space="preserve"> 8 rangs impressionne par son confort d’utilisation et sa précision.</w:t>
      </w:r>
    </w:p>
    <w:p w14:paraId="1247DE58" w14:textId="3E2191EA" w:rsidR="00123BBE" w:rsidRDefault="00123BBE">
      <w:pPr>
        <w:rPr>
          <w:rFonts w:ascii="Arial" w:hAnsi="Arial" w:cs="Arial"/>
          <w:sz w:val="22"/>
          <w:szCs w:val="22"/>
        </w:rPr>
      </w:pPr>
      <w:r>
        <w:br w:type="page"/>
      </w:r>
    </w:p>
    <w:p w14:paraId="4D66394C" w14:textId="7806BA21" w:rsidR="00114F26" w:rsidRDefault="000C5F07"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lastRenderedPageBreak/>
        <w:pict w14:anchorId="6A803DCE">
          <v:shape id="_x0000_i1027" type="#_x0000_t75" style="width:391.9pt;height:294.15pt">
            <v:imagedata r:id="rId9" o:title="Precea6000-2CC_Deutz_d0_kw_P4239429_d1_201112"/>
          </v:shape>
        </w:pict>
      </w:r>
    </w:p>
    <w:p w14:paraId="21F278D3" w14:textId="187FC62A" w:rsidR="006407F3" w:rsidRPr="006407F3" w:rsidRDefault="006407F3" w:rsidP="006407F3">
      <w:pPr>
        <w:pStyle w:val="StandardWeb"/>
        <w:spacing w:after="0" w:line="360" w:lineRule="atLeast"/>
        <w:ind w:left="567" w:right="2262"/>
        <w:rPr>
          <w:rFonts w:ascii="Arial" w:hAnsi="Arial" w:cs="Arial"/>
          <w:sz w:val="22"/>
          <w:szCs w:val="22"/>
        </w:rPr>
      </w:pPr>
      <w:r>
        <w:rPr>
          <w:rFonts w:ascii="Arial" w:hAnsi="Arial"/>
          <w:sz w:val="22"/>
          <w:szCs w:val="22"/>
        </w:rPr>
        <w:t xml:space="preserve">La séparation par surpression représente le cœur du </w:t>
      </w:r>
      <w:proofErr w:type="spellStart"/>
      <w:r>
        <w:rPr>
          <w:rFonts w:ascii="Arial" w:hAnsi="Arial"/>
          <w:sz w:val="22"/>
          <w:szCs w:val="22"/>
        </w:rPr>
        <w:t>Precea</w:t>
      </w:r>
      <w:proofErr w:type="spellEnd"/>
      <w:r>
        <w:rPr>
          <w:rFonts w:ascii="Arial" w:hAnsi="Arial"/>
          <w:sz w:val="22"/>
          <w:szCs w:val="22"/>
        </w:rPr>
        <w:t xml:space="preserve"> en permettant une implantation précise, même à des vitesses élevées jusqu’à 15 km/h.</w:t>
      </w:r>
    </w:p>
    <w:p w14:paraId="29D19531" w14:textId="3A796AA9" w:rsidR="00114F26" w:rsidRDefault="00114F26" w:rsidP="006407F3">
      <w:pPr>
        <w:pStyle w:val="StandardWeb"/>
        <w:spacing w:after="0" w:line="360" w:lineRule="atLeast"/>
        <w:ind w:left="567" w:right="2262"/>
        <w:rPr>
          <w:rFonts w:ascii="Arial" w:hAnsi="Arial" w:cs="Arial"/>
          <w:sz w:val="22"/>
          <w:szCs w:val="22"/>
        </w:rPr>
      </w:pPr>
    </w:p>
    <w:p w14:paraId="1392F3C3" w14:textId="790EEFFF" w:rsidR="000C5F07" w:rsidRPr="000C5F07" w:rsidRDefault="000C5F07" w:rsidP="000C5F07">
      <w:pPr>
        <w:pStyle w:val="StandardWeb"/>
        <w:spacing w:after="0" w:line="360" w:lineRule="atLeast"/>
        <w:ind w:left="567" w:right="2262"/>
        <w:rPr>
          <w:rFonts w:ascii="Arial" w:hAnsi="Arial" w:cs="Arial"/>
          <w:sz w:val="22"/>
          <w:szCs w:val="22"/>
          <w:lang w:val="de-DE"/>
        </w:rPr>
      </w:pPr>
      <w:r w:rsidRPr="000C5F07">
        <w:rPr>
          <w:rFonts w:ascii="Arial" w:hAnsi="Arial" w:cs="Arial"/>
          <w:sz w:val="22"/>
          <w:szCs w:val="22"/>
          <w:lang w:val="de-DE"/>
        </w:rPr>
        <w:t xml:space="preserve">Nous </w:t>
      </w:r>
      <w:proofErr w:type="spellStart"/>
      <w:r w:rsidRPr="000C5F07">
        <w:rPr>
          <w:rFonts w:ascii="Arial" w:hAnsi="Arial" w:cs="Arial"/>
          <w:sz w:val="22"/>
          <w:szCs w:val="22"/>
          <w:lang w:val="de-DE"/>
        </w:rPr>
        <w:t>mettons</w:t>
      </w:r>
      <w:proofErr w:type="spellEnd"/>
      <w:r w:rsidRPr="000C5F07">
        <w:rPr>
          <w:rFonts w:ascii="Arial" w:hAnsi="Arial" w:cs="Arial"/>
          <w:sz w:val="22"/>
          <w:szCs w:val="22"/>
          <w:lang w:val="de-DE"/>
        </w:rPr>
        <w:t xml:space="preserve"> à </w:t>
      </w:r>
      <w:proofErr w:type="spellStart"/>
      <w:r w:rsidRPr="000C5F07">
        <w:rPr>
          <w:rFonts w:ascii="Arial" w:hAnsi="Arial" w:cs="Arial"/>
          <w:sz w:val="22"/>
          <w:szCs w:val="22"/>
          <w:lang w:val="de-DE"/>
        </w:rPr>
        <w:t>votre</w:t>
      </w:r>
      <w:proofErr w:type="spellEnd"/>
      <w:r w:rsidRPr="000C5F07">
        <w:rPr>
          <w:rFonts w:ascii="Arial" w:hAnsi="Arial" w:cs="Arial"/>
          <w:sz w:val="22"/>
          <w:szCs w:val="22"/>
          <w:lang w:val="de-DE"/>
        </w:rPr>
        <w:t xml:space="preserve"> </w:t>
      </w:r>
      <w:proofErr w:type="spellStart"/>
      <w:r w:rsidRPr="000C5F07">
        <w:rPr>
          <w:rFonts w:ascii="Arial" w:hAnsi="Arial" w:cs="Arial"/>
          <w:sz w:val="22"/>
          <w:szCs w:val="22"/>
          <w:lang w:val="de-DE"/>
        </w:rPr>
        <w:t>disposition</w:t>
      </w:r>
      <w:proofErr w:type="spellEnd"/>
      <w:r w:rsidRPr="000C5F07">
        <w:rPr>
          <w:rFonts w:ascii="Arial" w:hAnsi="Arial" w:cs="Arial"/>
          <w:sz w:val="22"/>
          <w:szCs w:val="22"/>
          <w:lang w:val="de-DE"/>
        </w:rPr>
        <w:t xml:space="preserve"> des </w:t>
      </w:r>
      <w:proofErr w:type="spellStart"/>
      <w:r w:rsidRPr="000C5F07">
        <w:rPr>
          <w:rFonts w:ascii="Arial" w:hAnsi="Arial" w:cs="Arial"/>
          <w:sz w:val="22"/>
          <w:szCs w:val="22"/>
          <w:lang w:val="de-DE"/>
        </w:rPr>
        <w:t>photos</w:t>
      </w:r>
      <w:proofErr w:type="spellEnd"/>
      <w:r w:rsidRPr="000C5F07">
        <w:rPr>
          <w:rFonts w:ascii="Arial" w:hAnsi="Arial" w:cs="Arial"/>
          <w:sz w:val="22"/>
          <w:szCs w:val="22"/>
          <w:lang w:val="de-DE"/>
        </w:rPr>
        <w:t xml:space="preserve"> haute </w:t>
      </w:r>
      <w:proofErr w:type="spellStart"/>
      <w:r w:rsidRPr="000C5F07">
        <w:rPr>
          <w:rFonts w:ascii="Arial" w:hAnsi="Arial" w:cs="Arial"/>
          <w:sz w:val="22"/>
          <w:szCs w:val="22"/>
          <w:lang w:val="de-DE"/>
        </w:rPr>
        <w:t>résolution</w:t>
      </w:r>
      <w:proofErr w:type="spellEnd"/>
      <w:r w:rsidRPr="000C5F07">
        <w:rPr>
          <w:rFonts w:ascii="Arial" w:hAnsi="Arial" w:cs="Arial"/>
          <w:sz w:val="22"/>
          <w:szCs w:val="22"/>
          <w:lang w:val="de-DE"/>
        </w:rPr>
        <w:t xml:space="preserve"> </w:t>
      </w:r>
      <w:proofErr w:type="spellStart"/>
      <w:r w:rsidRPr="000C5F07">
        <w:rPr>
          <w:rFonts w:ascii="Arial" w:hAnsi="Arial" w:cs="Arial"/>
          <w:sz w:val="22"/>
          <w:szCs w:val="22"/>
          <w:lang w:val="de-DE"/>
        </w:rPr>
        <w:t>dans</w:t>
      </w:r>
      <w:proofErr w:type="spellEnd"/>
      <w:r w:rsidRPr="000C5F07">
        <w:rPr>
          <w:rFonts w:ascii="Arial" w:hAnsi="Arial" w:cs="Arial"/>
          <w:sz w:val="22"/>
          <w:szCs w:val="22"/>
          <w:lang w:val="de-DE"/>
        </w:rPr>
        <w:t xml:space="preserve"> </w:t>
      </w:r>
      <w:proofErr w:type="spellStart"/>
      <w:r w:rsidRPr="000C5F07">
        <w:rPr>
          <w:rFonts w:ascii="Arial" w:hAnsi="Arial" w:cs="Arial"/>
          <w:sz w:val="22"/>
          <w:szCs w:val="22"/>
          <w:lang w:val="de-DE"/>
        </w:rPr>
        <w:t>notre</w:t>
      </w:r>
      <w:proofErr w:type="spellEnd"/>
      <w:r w:rsidRPr="000C5F07">
        <w:rPr>
          <w:rFonts w:ascii="Arial" w:hAnsi="Arial" w:cs="Arial"/>
          <w:sz w:val="22"/>
          <w:szCs w:val="22"/>
          <w:lang w:val="de-DE"/>
        </w:rPr>
        <w:t xml:space="preserve"> pack </w:t>
      </w:r>
      <w:proofErr w:type="spellStart"/>
      <w:r w:rsidRPr="000C5F07">
        <w:rPr>
          <w:rFonts w:ascii="Arial" w:hAnsi="Arial" w:cs="Arial"/>
          <w:sz w:val="22"/>
          <w:szCs w:val="22"/>
          <w:lang w:val="de-DE"/>
        </w:rPr>
        <w:t>médias</w:t>
      </w:r>
      <w:proofErr w:type="spellEnd"/>
    </w:p>
    <w:p w14:paraId="4F377AA0" w14:textId="77777777" w:rsidR="002365F8" w:rsidRDefault="002365F8" w:rsidP="006407F3">
      <w:pPr>
        <w:pStyle w:val="StandardWeb"/>
        <w:spacing w:after="0" w:line="360" w:lineRule="atLeast"/>
        <w:ind w:left="567" w:right="2262"/>
        <w:rPr>
          <w:rFonts w:ascii="Arial" w:hAnsi="Arial" w:cs="Arial"/>
          <w:sz w:val="22"/>
          <w:szCs w:val="22"/>
        </w:rPr>
      </w:pPr>
      <w:bookmarkStart w:id="0" w:name="_GoBack"/>
      <w:bookmarkEnd w:id="0"/>
    </w:p>
    <w:p w14:paraId="1AB0BB7C" w14:textId="77777777" w:rsidR="002365F8" w:rsidRPr="00002CC3" w:rsidRDefault="002365F8" w:rsidP="002365F8">
      <w:pPr>
        <w:tabs>
          <w:tab w:val="left" w:pos="3550"/>
        </w:tabs>
        <w:spacing w:line="360" w:lineRule="auto"/>
        <w:ind w:left="567" w:right="1411"/>
        <w:rPr>
          <w:rFonts w:ascii="Arial" w:hAnsi="Arial" w:cs="Arial"/>
          <w:b/>
          <w:bCs/>
          <w:color w:val="808080" w:themeColor="background1" w:themeShade="80"/>
          <w:sz w:val="20"/>
          <w:szCs w:val="20"/>
        </w:rPr>
      </w:pPr>
      <w:r w:rsidRPr="00002CC3">
        <w:rPr>
          <w:rFonts w:ascii="Arial" w:hAnsi="Arial" w:cs="Arial"/>
          <w:b/>
          <w:bCs/>
          <w:color w:val="808080" w:themeColor="background1" w:themeShade="80"/>
          <w:sz w:val="20"/>
          <w:szCs w:val="20"/>
        </w:rPr>
        <w:t>A propos d‘AMAZONE</w:t>
      </w:r>
    </w:p>
    <w:p w14:paraId="09154AA2" w14:textId="77777777" w:rsidR="002365F8" w:rsidRPr="00002CC3" w:rsidRDefault="002365F8" w:rsidP="002365F8">
      <w:pPr>
        <w:tabs>
          <w:tab w:val="left" w:pos="3550"/>
        </w:tabs>
        <w:spacing w:line="360" w:lineRule="auto"/>
        <w:ind w:left="567" w:right="1411"/>
        <w:rPr>
          <w:rFonts w:ascii="Arial" w:hAnsi="Arial" w:cs="Arial"/>
          <w:bCs/>
          <w:color w:val="808080" w:themeColor="background1" w:themeShade="80"/>
          <w:sz w:val="20"/>
          <w:szCs w:val="20"/>
        </w:rPr>
      </w:pPr>
      <w:r w:rsidRPr="00002CC3">
        <w:rPr>
          <w:rFonts w:ascii="Arial" w:hAnsi="Arial" w:cs="Arial"/>
          <w:bCs/>
          <w:color w:val="808080" w:themeColor="background1" w:themeShade="80"/>
          <w:sz w:val="20"/>
          <w:szCs w:val="20"/>
        </w:rPr>
        <w:t>Les AMAZONEN-WERKE H. Dreyer GmbH &amp; Co.KG</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 xml:space="preserve"> dont le siège principal est à </w:t>
      </w:r>
      <w:proofErr w:type="spellStart"/>
      <w:r w:rsidRPr="00002CC3">
        <w:rPr>
          <w:rFonts w:ascii="Arial" w:hAnsi="Arial" w:cs="Arial"/>
          <w:bCs/>
          <w:color w:val="808080" w:themeColor="background1" w:themeShade="80"/>
          <w:sz w:val="20"/>
          <w:szCs w:val="20"/>
        </w:rPr>
        <w:t>Hasbergen</w:t>
      </w:r>
      <w:proofErr w:type="spellEnd"/>
      <w:r w:rsidRPr="00002CC3">
        <w:rPr>
          <w:rFonts w:ascii="Arial" w:hAnsi="Arial" w:cs="Arial"/>
          <w:bCs/>
          <w:color w:val="808080" w:themeColor="background1" w:themeShade="80"/>
          <w:sz w:val="20"/>
          <w:szCs w:val="20"/>
        </w:rPr>
        <w:t xml:space="preserve">-Gaste </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49205</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fabrique des machines agricoles et espaces verts. L’entreprise dirigée par ses propriétaires emploie 1900 salariés sur neuf sites de production différents en Allemagne, France, Russie et Hongrie. La gamme de machines agricoles comprend des outils de préparation du sol, des semoirs, des épandeurs d’engrais et des pulvérisateurs. Sur la base de ses compétences clé, AMAZONE est aujourd‘hui spécialiste </w:t>
      </w:r>
      <w:r>
        <w:rPr>
          <w:rFonts w:ascii="Arial" w:hAnsi="Arial" w:cs="Arial"/>
          <w:bCs/>
          <w:color w:val="808080" w:themeColor="background1" w:themeShade="80"/>
          <w:sz w:val="20"/>
          <w:szCs w:val="20"/>
        </w:rPr>
        <w:t>de</w:t>
      </w:r>
      <w:r w:rsidRPr="00002CC3">
        <w:rPr>
          <w:rFonts w:ascii="Arial" w:hAnsi="Arial" w:cs="Arial"/>
          <w:bCs/>
          <w:color w:val="808080" w:themeColor="background1" w:themeShade="80"/>
          <w:sz w:val="20"/>
          <w:szCs w:val="20"/>
        </w:rPr>
        <w:t xml:space="preserve"> la "culture intelligente". </w:t>
      </w:r>
    </w:p>
    <w:p w14:paraId="10DCE060" w14:textId="798C507D" w:rsidR="002365F8" w:rsidRPr="00002CC3" w:rsidRDefault="002365F8" w:rsidP="002365F8">
      <w:pPr>
        <w:tabs>
          <w:tab w:val="left" w:pos="3550"/>
        </w:tabs>
        <w:spacing w:line="360" w:lineRule="auto"/>
        <w:ind w:left="567" w:right="1411"/>
        <w:rPr>
          <w:rFonts w:ascii="Arial" w:hAnsi="Arial" w:cs="Arial"/>
          <w:bCs/>
          <w:color w:val="808080" w:themeColor="background1" w:themeShade="80"/>
          <w:sz w:val="20"/>
          <w:szCs w:val="20"/>
        </w:rPr>
      </w:pPr>
      <w:r w:rsidRPr="00002CC3">
        <w:rPr>
          <w:rFonts w:ascii="Arial" w:hAnsi="Arial" w:cs="Arial"/>
          <w:bCs/>
          <w:color w:val="808080" w:themeColor="background1" w:themeShade="80"/>
          <w:sz w:val="20"/>
          <w:szCs w:val="20"/>
        </w:rPr>
        <w:t xml:space="preserve">Pour plus d’informations : </w:t>
      </w:r>
      <w:hyperlink r:id="rId10" w:history="1">
        <w:r w:rsidRPr="00B05FA2">
          <w:rPr>
            <w:rStyle w:val="Hyperlink"/>
            <w:rFonts w:ascii="Arial" w:hAnsi="Arial" w:cs="Arial"/>
            <w:bCs/>
            <w:sz w:val="20"/>
            <w:szCs w:val="20"/>
          </w:rPr>
          <w:t>www.amazone.net</w:t>
        </w:r>
      </w:hyperlink>
      <w:r>
        <w:rPr>
          <w:rStyle w:val="Hyperlink"/>
          <w:rFonts w:ascii="Arial" w:hAnsi="Arial" w:cs="Arial"/>
          <w:bCs/>
          <w:sz w:val="20"/>
          <w:szCs w:val="20"/>
        </w:rPr>
        <w:t>/fr</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 </w:t>
      </w:r>
    </w:p>
    <w:p w14:paraId="04988D35" w14:textId="77777777" w:rsidR="002365F8" w:rsidRPr="00002CC3" w:rsidRDefault="002365F8" w:rsidP="002365F8">
      <w:pPr>
        <w:tabs>
          <w:tab w:val="left" w:pos="3550"/>
        </w:tabs>
        <w:spacing w:line="360" w:lineRule="auto"/>
        <w:ind w:left="567" w:right="1411"/>
        <w:rPr>
          <w:rFonts w:ascii="Arial" w:hAnsi="Arial" w:cs="Arial"/>
          <w:bCs/>
          <w:color w:val="808080" w:themeColor="background1" w:themeShade="80"/>
          <w:sz w:val="20"/>
          <w:szCs w:val="20"/>
        </w:rPr>
      </w:pPr>
      <w:r w:rsidRPr="00002CC3">
        <w:rPr>
          <w:noProof/>
          <w:color w:val="0563C1"/>
          <w:lang w:val="de-DE"/>
        </w:rPr>
        <w:drawing>
          <wp:inline distT="0" distB="0" distL="0" distR="0" wp14:anchorId="6B6DE4EC" wp14:editId="71F41430">
            <wp:extent cx="241300" cy="241300"/>
            <wp:effectExtent l="0" t="0" r="6350" b="6350"/>
            <wp:docPr id="26" name="Grafik 26"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lang w:val="de-DE"/>
        </w:rPr>
        <w:drawing>
          <wp:inline distT="0" distB="0" distL="0" distR="0" wp14:anchorId="3BB7695A" wp14:editId="06517B8A">
            <wp:extent cx="241300" cy="241300"/>
            <wp:effectExtent l="0" t="0" r="6350" b="6350"/>
            <wp:docPr id="27" name="Grafik 27"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lang w:val="de-DE"/>
        </w:rPr>
        <w:drawing>
          <wp:inline distT="0" distB="0" distL="0" distR="0" wp14:anchorId="7EFD0870" wp14:editId="4C39B071">
            <wp:extent cx="241300" cy="241300"/>
            <wp:effectExtent l="0" t="0" r="6350" b="6350"/>
            <wp:docPr id="28" name="Grafik 28"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lang w:val="de-DE"/>
        </w:rPr>
        <w:drawing>
          <wp:inline distT="0" distB="0" distL="0" distR="0" wp14:anchorId="5C32AD59" wp14:editId="1F31286B">
            <wp:extent cx="241300" cy="241300"/>
            <wp:effectExtent l="0" t="0" r="6350" b="6350"/>
            <wp:docPr id="29" name="Grafik 29"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lang w:val="de-DE"/>
        </w:rPr>
        <w:drawing>
          <wp:inline distT="0" distB="0" distL="0" distR="0" wp14:anchorId="3BE858BA" wp14:editId="5BA0B8D3">
            <wp:extent cx="241300" cy="241300"/>
            <wp:effectExtent l="0" t="0" r="6350" b="6350"/>
            <wp:docPr id="30" name="Grafik 30"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p>
    <w:p w14:paraId="1E6819C1" w14:textId="77777777" w:rsidR="002365F8" w:rsidRDefault="002365F8" w:rsidP="006407F3">
      <w:pPr>
        <w:pStyle w:val="StandardWeb"/>
        <w:spacing w:after="0" w:line="360" w:lineRule="atLeast"/>
        <w:ind w:left="567" w:right="2262"/>
        <w:rPr>
          <w:rFonts w:ascii="Arial" w:hAnsi="Arial" w:cs="Arial"/>
          <w:sz w:val="22"/>
          <w:szCs w:val="22"/>
        </w:rPr>
      </w:pPr>
    </w:p>
    <w:sectPr w:rsidR="002365F8" w:rsidSect="00042AFB">
      <w:headerReference w:type="default" r:id="rId26"/>
      <w:footerReference w:type="default" r:id="rId27"/>
      <w:pgSz w:w="11901" w:h="16840" w:code="9"/>
      <w:pgMar w:top="1418"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D45C23" w14:textId="77777777" w:rsidR="00B73FA3" w:rsidRDefault="00B73FA3">
      <w:r>
        <w:separator/>
      </w:r>
    </w:p>
  </w:endnote>
  <w:endnote w:type="continuationSeparator" w:id="0">
    <w:p w14:paraId="244E9D81" w14:textId="77777777" w:rsidR="00B73FA3" w:rsidRDefault="00B73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C5F07">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C5F07">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C5F07">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C5F07">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405D0908"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www.amazone.net</w:t>
                          </w:r>
                          <w:r w:rsidR="002365F8">
                            <w:rPr>
                              <w:rFonts w:ascii="Arial" w:hAnsi="Arial"/>
                              <w:sz w:val="20"/>
                            </w:rPr>
                            <w: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405D0908"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www.amazone.net</w:t>
                    </w:r>
                    <w:r w:rsidR="002365F8">
                      <w:rPr>
                        <w:rFonts w:ascii="Arial" w:hAnsi="Arial"/>
                        <w:sz w:val="20"/>
                      </w:rPr>
                      <w: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D2BF83" w14:textId="77777777" w:rsidR="00B73FA3" w:rsidRDefault="00B73FA3">
      <w:r>
        <w:separator/>
      </w:r>
    </w:p>
  </w:footnote>
  <w:footnote w:type="continuationSeparator" w:id="0">
    <w:p w14:paraId="6D907732" w14:textId="77777777" w:rsidR="00B73FA3" w:rsidRDefault="00B73F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5312B3B8">
              <wp:simplePos x="0" y="0"/>
              <wp:positionH relativeFrom="margin">
                <wp:align>right</wp:align>
              </wp:positionH>
              <wp:positionV relativeFrom="paragraph">
                <wp:posOffset>-681355</wp:posOffset>
              </wp:positionV>
              <wp:extent cx="3475990"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475990"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6B64C1F6"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Communiqué de presse </w:t>
                          </w:r>
                          <w:r w:rsidR="000C5F07">
                            <w:rPr>
                              <w:rFonts w:ascii="Arial" w:hAnsi="Arial"/>
                              <w:color w:val="FFFFFF" w:themeColor="background1"/>
                              <w:sz w:val="28"/>
                              <w:szCs w:val="28"/>
                            </w:rPr>
                            <w:t>Décembre</w:t>
                          </w:r>
                          <w:r>
                            <w:rPr>
                              <w:rFonts w:ascii="Arial" w:hAnsi="Arial"/>
                              <w:color w:val="FFFFFF" w:themeColor="background1"/>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222.5pt;margin-top:-53.65pt;width:273.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" filled="f" stroked="f" strokeweight="2pt">
              <v:textbox>
                <w:txbxContent>
                  <w:p w14:paraId="3A2176F1" w14:textId="6B64C1F6"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Communiqué de presse </w:t>
                    </w:r>
                    <w:r w:rsidR="000C5F07">
                      <w:rPr>
                        <w:rFonts w:ascii="Arial" w:hAnsi="Arial"/>
                        <w:color w:val="FFFFFF" w:themeColor="background1"/>
                        <w:sz w:val="28"/>
                        <w:szCs w:val="28"/>
                      </w:rPr>
                      <w:t>Décembre</w:t>
                    </w:r>
                    <w:r>
                      <w:rPr>
                        <w:rFonts w:ascii="Arial" w:hAnsi="Arial"/>
                        <w:color w:val="FFFFFF" w:themeColor="background1"/>
                        <w:sz w:val="28"/>
                        <w:szCs w:val="28"/>
                      </w:rPr>
                      <w:t xml:space="preserve"> 2020</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C5F0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56E7"/>
    <w:rsid w:val="002365F8"/>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123B7"/>
    <w:rsid w:val="003132FB"/>
    <w:rsid w:val="003156BE"/>
    <w:rsid w:val="00316911"/>
    <w:rsid w:val="003171E2"/>
    <w:rsid w:val="003203EE"/>
    <w:rsid w:val="00320F24"/>
    <w:rsid w:val="00322003"/>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DDB"/>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34861"/>
    <w:rsid w:val="00435862"/>
    <w:rsid w:val="0043678E"/>
    <w:rsid w:val="004377F1"/>
    <w:rsid w:val="00437D02"/>
    <w:rsid w:val="00440B98"/>
    <w:rsid w:val="004428EA"/>
    <w:rsid w:val="00447C09"/>
    <w:rsid w:val="004554BE"/>
    <w:rsid w:val="004564A0"/>
    <w:rsid w:val="00460A83"/>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1764"/>
    <w:rsid w:val="00770F01"/>
    <w:rsid w:val="00771DA9"/>
    <w:rsid w:val="0078043A"/>
    <w:rsid w:val="007855C2"/>
    <w:rsid w:val="007944D9"/>
    <w:rsid w:val="00797F03"/>
    <w:rsid w:val="007A02B8"/>
    <w:rsid w:val="007B22BA"/>
    <w:rsid w:val="007B3245"/>
    <w:rsid w:val="007C080C"/>
    <w:rsid w:val="007C2A54"/>
    <w:rsid w:val="007C5770"/>
    <w:rsid w:val="007C73D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4036"/>
    <w:rsid w:val="00936828"/>
    <w:rsid w:val="00937D13"/>
    <w:rsid w:val="00940BE0"/>
    <w:rsid w:val="0094566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5CC9"/>
    <w:rsid w:val="00A462E9"/>
    <w:rsid w:val="00A476EC"/>
    <w:rsid w:val="00A50C6B"/>
    <w:rsid w:val="00A52AFA"/>
    <w:rsid w:val="00A54C97"/>
    <w:rsid w:val="00A62065"/>
    <w:rsid w:val="00A638A2"/>
    <w:rsid w:val="00A67AD5"/>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575F"/>
    <w:rsid w:val="00AA6FB0"/>
    <w:rsid w:val="00AB0C7F"/>
    <w:rsid w:val="00AB1899"/>
    <w:rsid w:val="00AB24F3"/>
    <w:rsid w:val="00AB458C"/>
    <w:rsid w:val="00AC04A2"/>
    <w:rsid w:val="00AC1948"/>
    <w:rsid w:val="00AC2FEB"/>
    <w:rsid w:val="00AC4035"/>
    <w:rsid w:val="00AC4FDA"/>
    <w:rsid w:val="00AC5950"/>
    <w:rsid w:val="00AC6EE2"/>
    <w:rsid w:val="00AD0821"/>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61FD4"/>
    <w:rsid w:val="00B63392"/>
    <w:rsid w:val="00B6709B"/>
    <w:rsid w:val="00B7337D"/>
    <w:rsid w:val="00B73FA3"/>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210CD"/>
    <w:rsid w:val="00E236C2"/>
    <w:rsid w:val="00E247DB"/>
    <w:rsid w:val="00E25D8E"/>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6DCE"/>
    <w:rsid w:val="00EA76FC"/>
    <w:rsid w:val="00EB27C5"/>
    <w:rsid w:val="00EC648D"/>
    <w:rsid w:val="00ED00C4"/>
    <w:rsid w:val="00ED14F1"/>
    <w:rsid w:val="00EE253D"/>
    <w:rsid w:val="00EE2691"/>
    <w:rsid w:val="00EE5530"/>
    <w:rsid w:val="00EF33C1"/>
    <w:rsid w:val="00EF3A76"/>
    <w:rsid w:val="00EF442C"/>
    <w:rsid w:val="00EF46F1"/>
    <w:rsid w:val="00F00425"/>
    <w:rsid w:val="00F04AA9"/>
    <w:rsid w:val="00F04BE9"/>
    <w:rsid w:val="00F1038F"/>
    <w:rsid w:val="00F13A14"/>
    <w:rsid w:val="00F15443"/>
    <w:rsid w:val="00F15B68"/>
    <w:rsid w:val="00F170DD"/>
    <w:rsid w:val="00F214BC"/>
    <w:rsid w:val="00F2696A"/>
    <w:rsid w:val="00F3206D"/>
    <w:rsid w:val="00F34074"/>
    <w:rsid w:val="00F36BC3"/>
    <w:rsid w:val="00F42F23"/>
    <w:rsid w:val="00F43E3C"/>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9B2"/>
    <w:rsid w:val="00FA7542"/>
    <w:rsid w:val="00FA75B7"/>
    <w:rsid w:val="00FB38CE"/>
    <w:rsid w:val="00FB55E1"/>
    <w:rsid w:val="00FB5C7B"/>
    <w:rsid w:val="00FB7341"/>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7.jpe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ettings" Target="setting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youtu.be/k4_ONNh5jjc" TargetMode="Externa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1203</Words>
  <Characters>6510</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CP Amazone Bilan annuel 2008</vt:lpstr>
      <vt:lpstr>PI Amazone Jahresbericht 2008</vt:lpstr>
    </vt:vector>
  </TitlesOfParts>
  <LinksUpToDate>false</LinksUpToDate>
  <CharactersWithSpaces>7698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2020-10-26T12:46:00Z</dcterms:created>
  <dcterms:modified xsi:type="dcterms:W3CDTF">2020-12-03T09:34:00Z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